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A7AF593"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D14E8E">
        <w:rPr>
          <w:rFonts w:ascii="Arial" w:hAnsi="Arial"/>
          <w:sz w:val="22"/>
          <w:szCs w:val="22"/>
        </w:rPr>
        <w:t>Incentive for audiovisual productions</w:t>
      </w:r>
      <w:r>
        <w:rPr>
          <w:rFonts w:ascii="Arial" w:hAnsi="Arial"/>
          <w:sz w:val="22"/>
          <w:szCs w:val="22"/>
        </w:rPr>
        <w:t xml:space="preserve">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05DA3688" w:rsidR="006C2BE5" w:rsidRDefault="0036044C" w:rsidP="00C8233A">
      <w:pPr>
        <w:pStyle w:val="Leipteksti"/>
        <w:spacing w:before="120" w:after="120"/>
        <w:jc w:val="both"/>
        <w:rPr>
          <w:rFonts w:ascii="Arial" w:hAnsi="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10A94A16" w14:textId="5AF8BE4C"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628388D4" w14:textId="77777777" w:rsidR="00D14E8E" w:rsidRDefault="00D14E8E" w:rsidP="00C8233A">
      <w:pPr>
        <w:pStyle w:val="Leipteksti"/>
        <w:spacing w:before="120" w:after="120"/>
        <w:jc w:val="both"/>
        <w:rPr>
          <w:rFonts w:ascii="Arial" w:hAnsi="Arial"/>
          <w:sz w:val="20"/>
        </w:rPr>
      </w:pPr>
      <w:r w:rsidRPr="00D14E8E">
        <w:rPr>
          <w:rFonts w:ascii="Arial" w:hAnsi="Arial"/>
          <w:sz w:val="20"/>
        </w:rPr>
        <w:t>We are not qualified to assess whether the costs are expenditures arising from production.</w:t>
      </w:r>
    </w:p>
    <w:p w14:paraId="103C4263" w14:textId="5C5FCE8B"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26994B6A" w14:textId="77777777" w:rsidR="00A44093" w:rsidRDefault="007B4AB9" w:rsidP="00C8233A">
      <w:pPr>
        <w:pStyle w:val="Leipteksti"/>
        <w:spacing w:before="120" w:after="120"/>
        <w:jc w:val="both"/>
        <w:rPr>
          <w:rFonts w:ascii="Arial" w:hAnsi="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costs declared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p w14:paraId="27F3E7FA" w14:textId="235ABD67" w:rsidR="00D14E8E" w:rsidRDefault="00D14E8E" w:rsidP="00C8233A">
      <w:pPr>
        <w:pStyle w:val="Leipteksti"/>
        <w:spacing w:before="120" w:after="120"/>
        <w:jc w:val="both"/>
        <w:rPr>
          <w:rFonts w:ascii="Arial" w:hAnsi="Arial"/>
          <w:sz w:val="20"/>
        </w:rPr>
      </w:pPr>
      <w:r w:rsidRPr="00D14E8E">
        <w:rPr>
          <w:rFonts w:ascii="Arial" w:hAnsi="Arial"/>
          <w:sz w:val="20"/>
        </w:rPr>
        <w:t xml:space="preserve">When the beneficiary is a foreign company and it has </w:t>
      </w:r>
      <w:proofErr w:type="gramStart"/>
      <w:r w:rsidRPr="00D14E8E">
        <w:rPr>
          <w:rFonts w:ascii="Arial" w:hAnsi="Arial"/>
          <w:sz w:val="20"/>
        </w:rPr>
        <w:t>entered into</w:t>
      </w:r>
      <w:proofErr w:type="gramEnd"/>
      <w:r w:rsidRPr="00D14E8E">
        <w:rPr>
          <w:rFonts w:ascii="Arial" w:hAnsi="Arial"/>
          <w:sz w:val="20"/>
        </w:rPr>
        <w:t xml:space="preserve"> a service provision contract with a production coordinator company, the agreed-upon procedures are allocated to the project accounts of the production coordinator [name, business ID]. The audit has examined the costs paid by the production coordinator and the beneficiary’s payments to the coordinator.</w:t>
      </w:r>
    </w:p>
    <w:p w14:paraId="391765ED" w14:textId="61EEF9D9" w:rsidR="00D14E8E" w:rsidRDefault="00D14E8E" w:rsidP="00C8233A">
      <w:pPr>
        <w:pStyle w:val="Leipteksti"/>
        <w:spacing w:before="120" w:after="120"/>
        <w:jc w:val="both"/>
        <w:rPr>
          <w:rFonts w:ascii="Arial" w:hAnsi="Arial" w:cs="Arial"/>
          <w:sz w:val="20"/>
        </w:rPr>
        <w:sectPr w:rsidR="00D14E8E"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5FCAF998" w:rsidR="0033583E" w:rsidRPr="00AA0CED" w:rsidRDefault="00D14E8E" w:rsidP="0033583E">
            <w:pPr>
              <w:pStyle w:val="Leipteksti"/>
              <w:rPr>
                <w:rFonts w:ascii="Arial" w:hAnsi="Arial" w:cs="Arial"/>
                <w:b w:val="0"/>
                <w:bCs w:val="0"/>
                <w:sz w:val="20"/>
              </w:rPr>
            </w:pPr>
            <w:r w:rsidRPr="00D14E8E">
              <w:rPr>
                <w:rFonts w:ascii="Arial" w:hAnsi="Arial"/>
                <w:b w:val="0"/>
                <w:bCs w:val="0"/>
                <w:sz w:val="20"/>
              </w:rPr>
              <w:t xml:space="preserve">If the </w:t>
            </w:r>
            <w:r>
              <w:rPr>
                <w:rFonts w:ascii="Arial" w:hAnsi="Arial"/>
                <w:b w:val="0"/>
                <w:bCs w:val="0"/>
                <w:sz w:val="20"/>
              </w:rPr>
              <w:t>Engaging Party</w:t>
            </w:r>
            <w:r w:rsidRPr="00D14E8E">
              <w:rPr>
                <w:rFonts w:ascii="Arial" w:hAnsi="Arial"/>
                <w:b w:val="0"/>
                <w:bCs w:val="0"/>
                <w:sz w:val="20"/>
              </w:rPr>
              <w:t xml:space="preserve"> has a project f</w:t>
            </w:r>
            <w:r>
              <w:rPr>
                <w:rFonts w:ascii="Arial" w:hAnsi="Arial"/>
                <w:b w:val="0"/>
                <w:bCs w:val="0"/>
                <w:sz w:val="20"/>
              </w:rPr>
              <w:t xml:space="preserve">unded </w:t>
            </w:r>
            <w:r w:rsidRPr="00D14E8E">
              <w:rPr>
                <w:rFonts w:ascii="Arial" w:hAnsi="Arial"/>
                <w:b w:val="0"/>
                <w:bCs w:val="0"/>
                <w:sz w:val="20"/>
              </w:rPr>
              <w:t xml:space="preserve">by the Funder running at the same time, the funding terms of which require working time tracking, all those persons who work </w:t>
            </w:r>
            <w:r w:rsidR="00083A74">
              <w:rPr>
                <w:rFonts w:ascii="Arial" w:hAnsi="Arial"/>
                <w:b w:val="0"/>
                <w:bCs w:val="0"/>
                <w:sz w:val="20"/>
              </w:rPr>
              <w:t xml:space="preserve">also </w:t>
            </w:r>
            <w:r w:rsidRPr="00D14E8E">
              <w:rPr>
                <w:rFonts w:ascii="Arial" w:hAnsi="Arial"/>
                <w:b w:val="0"/>
                <w:bCs w:val="0"/>
                <w:sz w:val="20"/>
              </w:rPr>
              <w:t>on th</w:t>
            </w:r>
            <w:r w:rsidR="00083A74">
              <w:rPr>
                <w:rFonts w:ascii="Arial" w:hAnsi="Arial"/>
                <w:b w:val="0"/>
                <w:bCs w:val="0"/>
                <w:sz w:val="20"/>
              </w:rPr>
              <w:t>at</w:t>
            </w:r>
            <w:r w:rsidRPr="00D14E8E">
              <w:rPr>
                <w:rFonts w:ascii="Arial" w:hAnsi="Arial"/>
                <w:b w:val="0"/>
                <w:bCs w:val="0"/>
                <w:sz w:val="20"/>
              </w:rPr>
              <w:t xml:space="preserve"> project must keep an hourly working time tracking of their work.</w:t>
            </w:r>
            <w:r>
              <w:rPr>
                <w:rFonts w:ascii="Arial" w:hAnsi="Arial"/>
                <w:b w:val="0"/>
                <w:bCs w:val="0"/>
                <w:sz w:val="20"/>
              </w:rPr>
              <w:t xml:space="preserve"> W</w:t>
            </w:r>
            <w:r w:rsidR="0033583E">
              <w:rPr>
                <w:rFonts w:ascii="Arial" w:hAnsi="Arial"/>
                <w:b w:val="0"/>
                <w:bCs w:val="0"/>
                <w:sz w:val="20"/>
              </w:rPr>
              <w:t xml:space="preserve">e were given access to a description of the Engaging Party’s working time monitoring and interviewed [person’s name] </w:t>
            </w:r>
            <w:proofErr w:type="gramStart"/>
            <w:r w:rsidR="0033583E">
              <w:rPr>
                <w:rFonts w:ascii="Arial" w:hAnsi="Arial"/>
                <w:b w:val="0"/>
                <w:bCs w:val="0"/>
                <w:sz w:val="20"/>
              </w:rPr>
              <w:t>in order to</w:t>
            </w:r>
            <w:proofErr w:type="gramEnd"/>
            <w:r w:rsidR="0033583E">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of their total working time in accordance with the funding terms and conditions.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F41FA5E" w:rsidR="00284951" w:rsidRPr="00AA0CED" w:rsidRDefault="0033583E" w:rsidP="007D3D46">
            <w:pPr>
              <w:pStyle w:val="Leipteksti"/>
              <w:rPr>
                <w:rFonts w:ascii="Arial" w:hAnsi="Arial" w:cs="Arial"/>
                <w:b w:val="0"/>
                <w:bCs w:val="0"/>
                <w:sz w:val="20"/>
              </w:rPr>
            </w:pPr>
            <w:r>
              <w:rPr>
                <w:rFonts w:ascii="Arial" w:hAnsi="Arial"/>
                <w:b w:val="0"/>
                <w:bCs w:val="0"/>
                <w:sz w:val="20"/>
              </w:rPr>
              <w:t xml:space="preserve">Regarding the reported salaries, we carried out the procedures mentioned below. The procedures covered </w:t>
            </w:r>
            <w:r w:rsidR="004B0B26">
              <w:rPr>
                <w:rFonts w:ascii="Arial" w:hAnsi="Arial"/>
                <w:b w:val="0"/>
                <w:bCs w:val="0"/>
                <w:sz w:val="20"/>
              </w:rPr>
              <w:t>6</w:t>
            </w:r>
            <w:r>
              <w:rPr>
                <w:rFonts w:ascii="Arial" w:hAnsi="Arial"/>
                <w:b w:val="0"/>
                <w:bCs w:val="0"/>
                <w:sz w:val="20"/>
              </w:rPr>
              <w:t>0% of the salaries reported for the project and 15% of the payment of salaries reported for the project.</w:t>
            </w:r>
          </w:p>
          <w:p w14:paraId="4A9F37E5" w14:textId="77777777" w:rsidR="004B0B26" w:rsidRPr="004B0B26"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 xml:space="preserve">We compared the amount reported in the cost report to the beneficiary’s payroll accounting and verified that 15% of the total salaries had been paid. </w:t>
            </w:r>
          </w:p>
          <w:p w14:paraId="7277E8BA" w14:textId="40EB529F" w:rsidR="004B0B26" w:rsidRPr="00AA0CED"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If the funding terms and conditions of the project require working time monitoring, we compared the number of hours reported in the section “Project hours during the reporting period” of the salary specification to the hours reported in the project’s working time monitoring.</w:t>
            </w:r>
          </w:p>
          <w:p w14:paraId="771F556C" w14:textId="247C975E" w:rsidR="004B0B26" w:rsidRPr="004B0B26" w:rsidRDefault="004B0B26" w:rsidP="002112DB">
            <w:pPr>
              <w:pStyle w:val="Leipteksti"/>
              <w:numPr>
                <w:ilvl w:val="0"/>
                <w:numId w:val="5"/>
              </w:numPr>
              <w:spacing w:before="0" w:after="0"/>
              <w:ind w:left="589"/>
              <w:rPr>
                <w:rFonts w:ascii="Arial" w:hAnsi="Arial" w:cs="Arial"/>
                <w:b w:val="0"/>
                <w:bCs w:val="0"/>
                <w:sz w:val="20"/>
              </w:rPr>
            </w:pPr>
            <w:r w:rsidRPr="004B0B26">
              <w:rPr>
                <w:rFonts w:ascii="Arial" w:hAnsi="Arial"/>
                <w:b w:val="0"/>
                <w:bCs w:val="0"/>
                <w:sz w:val="20"/>
              </w:rPr>
              <w:t xml:space="preserve">If the terms and conditions for funding require the monitoring of the total working hours of a specific employee, we compared the number of hours reported in the section “Total working hours in the reporting period” of the salary specification to the employee’s total monitored working hours. </w:t>
            </w:r>
          </w:p>
          <w:p w14:paraId="5AC7B33C" w14:textId="6D719E32" w:rsidR="004B0B26" w:rsidRPr="004B0B26" w:rsidRDefault="004B0B26"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We examined </w:t>
            </w:r>
            <w:r w:rsidRPr="004B0B26">
              <w:rPr>
                <w:rFonts w:ascii="Arial" w:hAnsi="Arial" w:cs="Arial"/>
                <w:b w:val="0"/>
                <w:bCs w:val="0"/>
                <w:sz w:val="20"/>
              </w:rPr>
              <w:t>whether salaries were paid to employees liable to pay taxes in Finland who had a valid tax card or tax-at-source card.</w:t>
            </w:r>
          </w:p>
          <w:p w14:paraId="7A387EFD" w14:textId="1ECD6D30" w:rsidR="004B0B26" w:rsidRPr="00AA0CED" w:rsidRDefault="004B0B26" w:rsidP="004B0B26">
            <w:pPr>
              <w:pStyle w:val="Leipteksti"/>
              <w:spacing w:before="0" w:after="0"/>
              <w:rPr>
                <w:rFonts w:ascii="Arial" w:hAnsi="Arial" w:cs="Arial"/>
                <w:b w:val="0"/>
                <w:bCs w:val="0"/>
                <w:sz w:val="20"/>
              </w:rPr>
            </w:pPr>
          </w:p>
        </w:tc>
        <w:tc>
          <w:tcPr>
            <w:tcW w:w="7087" w:type="dxa"/>
          </w:tcPr>
          <w:p w14:paraId="0A319C62" w14:textId="2235B0CD"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reviewed data in the salary specification included in the report corresponded to the payroll accounting [except for the following items...] and the reviewed total amounts of salary had been paid. </w:t>
            </w:r>
          </w:p>
          <w:p w14:paraId="4A85D621" w14:textId="77777777" w:rsidR="004B0B26" w:rsidRPr="004B0B26" w:rsidRDefault="004B0B26" w:rsidP="004B0B2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 xml:space="preserve">If the funding terms and conditions of the project require working time monitoring, we verified that the number of hours given in section “Project hours during the reporting period” of the payroll specification corresponds to the project’s working time monitoring. </w:t>
            </w:r>
          </w:p>
          <w:p w14:paraId="0B748E54" w14:textId="77777777" w:rsidR="004B0B26" w:rsidRPr="004B0B26" w:rsidRDefault="004B0B26" w:rsidP="004B0B2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If the terms and conditions for funding require the monitoring of the total working hours of a specific employee, we verified that the number of hours given in the section “Total working hours in the reporting period” corresponds to the employee’s total monitored working hours.</w:t>
            </w:r>
          </w:p>
          <w:p w14:paraId="0A6B4D6D" w14:textId="2FC319C5" w:rsidR="004B0B26" w:rsidRDefault="004B0B26"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sidRPr="004B0B26">
              <w:rPr>
                <w:rFonts w:ascii="Arial" w:hAnsi="Arial"/>
                <w:sz w:val="20"/>
              </w:rPr>
              <w:t>In addition, we concluded that the salaries had been paid to employees who were liable to taxation in Finland.</w:t>
            </w:r>
          </w:p>
          <w:p w14:paraId="646CACBD" w14:textId="1508B743"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323C38E8"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 xml:space="preserve">4. </w:t>
            </w:r>
            <w:r w:rsidR="000409AC" w:rsidRPr="000409AC">
              <w:rPr>
                <w:rFonts w:ascii="Arial" w:hAnsi="Arial"/>
                <w:color w:val="FFFFFF" w:themeColor="background1"/>
                <w:sz w:val="20"/>
              </w:rPr>
              <w:t>Purchased services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3B917383" w:rsidR="00941355"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w:t>
            </w:r>
            <w:r w:rsidR="000409AC">
              <w:rPr>
                <w:rFonts w:ascii="Arial" w:hAnsi="Arial"/>
                <w:b w:val="0"/>
                <w:bCs w:val="0"/>
                <w:sz w:val="20"/>
              </w:rPr>
              <w:t>6</w:t>
            </w:r>
            <w:r>
              <w:rPr>
                <w:rFonts w:ascii="Arial" w:hAnsi="Arial"/>
                <w:b w:val="0"/>
                <w:bCs w:val="0"/>
                <w:sz w:val="20"/>
              </w:rPr>
              <w:t xml:space="preserve">0 % of the costs reported for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p>
          <w:p w14:paraId="73A5C8C1" w14:textId="77777777" w:rsidR="00FF2327" w:rsidRPr="00FF2327" w:rsidRDefault="00941355" w:rsidP="00941355">
            <w:pPr>
              <w:pStyle w:val="Merkittyluettelo"/>
              <w:numPr>
                <w:ilvl w:val="1"/>
                <w:numId w:val="7"/>
              </w:numPr>
              <w:spacing w:after="0"/>
              <w:ind w:left="589"/>
              <w:rPr>
                <w:b w:val="0"/>
                <w:bCs w:val="0"/>
              </w:rPr>
            </w:pPr>
            <w:r>
              <w:rPr>
                <w:rFonts w:ascii="Arial" w:hAnsi="Arial"/>
                <w:b w:val="0"/>
                <w:bCs w:val="0"/>
                <w:sz w:val="20"/>
              </w:rPr>
              <w:t>whether they have been presented according to cost category</w:t>
            </w:r>
          </w:p>
          <w:p w14:paraId="3D654F75" w14:textId="77777777" w:rsidR="00FF2327" w:rsidRPr="00FF2327" w:rsidRDefault="00FF2327" w:rsidP="00941355">
            <w:pPr>
              <w:pStyle w:val="Merkittyluettelo"/>
              <w:numPr>
                <w:ilvl w:val="1"/>
                <w:numId w:val="7"/>
              </w:numPr>
              <w:spacing w:after="0"/>
              <w:ind w:left="589"/>
              <w:rPr>
                <w:b w:val="0"/>
                <w:bCs w:val="0"/>
              </w:rPr>
            </w:pPr>
            <w:r>
              <w:rPr>
                <w:rFonts w:ascii="Arial" w:hAnsi="Arial"/>
                <w:b w:val="0"/>
                <w:bCs w:val="0"/>
                <w:sz w:val="20"/>
              </w:rPr>
              <w:t>whether the services purchased are based on invoices</w:t>
            </w:r>
          </w:p>
          <w:p w14:paraId="459827D4" w14:textId="0525DB14" w:rsidR="00FF2327" w:rsidRPr="00FF2327" w:rsidRDefault="00FF2327" w:rsidP="00FF2327">
            <w:pPr>
              <w:pStyle w:val="Merkittyluettelo"/>
              <w:numPr>
                <w:ilvl w:val="2"/>
                <w:numId w:val="7"/>
              </w:numPr>
              <w:spacing w:after="0"/>
              <w:ind w:left="885"/>
              <w:rPr>
                <w:rFonts w:ascii="Arial" w:hAnsi="Arial"/>
                <w:b w:val="0"/>
                <w:bCs w:val="0"/>
                <w:sz w:val="20"/>
              </w:rPr>
            </w:pPr>
            <w:r>
              <w:rPr>
                <w:rFonts w:ascii="Arial" w:hAnsi="Arial"/>
                <w:b w:val="0"/>
                <w:bCs w:val="0"/>
                <w:sz w:val="20"/>
              </w:rPr>
              <w:t xml:space="preserve">whether </w:t>
            </w:r>
            <w:r w:rsidRPr="00FF2327">
              <w:rPr>
                <w:rFonts w:ascii="Arial" w:hAnsi="Arial"/>
                <w:b w:val="0"/>
                <w:bCs w:val="0"/>
                <w:sz w:val="20"/>
              </w:rPr>
              <w:t>the purchased services include travel and overheads</w:t>
            </w:r>
          </w:p>
          <w:p w14:paraId="793CC129" w14:textId="77777777" w:rsidR="00FF2327" w:rsidRPr="00FF2327" w:rsidRDefault="00FF2327" w:rsidP="00FF2327">
            <w:pPr>
              <w:pStyle w:val="Merkittyluettelo"/>
              <w:numPr>
                <w:ilvl w:val="2"/>
                <w:numId w:val="7"/>
              </w:numPr>
              <w:spacing w:after="0"/>
              <w:ind w:left="885"/>
              <w:rPr>
                <w:rFonts w:ascii="Arial" w:hAnsi="Arial"/>
                <w:b w:val="0"/>
                <w:bCs w:val="0"/>
                <w:sz w:val="20"/>
              </w:rPr>
            </w:pPr>
            <w:r w:rsidRPr="00FF2327">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w:t>
            </w:r>
          </w:p>
          <w:p w14:paraId="2858FE19" w14:textId="18524411" w:rsidR="00941355" w:rsidRPr="006A4B79" w:rsidRDefault="00FF2327" w:rsidP="00FF2327">
            <w:pPr>
              <w:pStyle w:val="Merkittyluettelo"/>
              <w:numPr>
                <w:ilvl w:val="2"/>
                <w:numId w:val="7"/>
              </w:numPr>
              <w:spacing w:after="0"/>
              <w:ind w:left="885"/>
              <w:rPr>
                <w:b w:val="0"/>
                <w:bCs w:val="0"/>
              </w:rPr>
            </w:pPr>
            <w:r w:rsidRPr="00FF2327">
              <w:rPr>
                <w:rFonts w:ascii="Arial" w:hAnsi="Arial"/>
                <w:b w:val="0"/>
                <w:bCs w:val="0"/>
                <w:sz w:val="20"/>
              </w:rPr>
              <w:t>whether the purchases from Group/associated companies were reported without profit and whether the beneficiary’s report includes an auditor’s report regarding the seller’s costs drawn up by an independent auditor</w:t>
            </w:r>
            <w:r w:rsidR="00941355">
              <w:rPr>
                <w:rFonts w:ascii="Arial" w:hAnsi="Arial"/>
                <w:b w:val="0"/>
                <w:bCs w:val="0"/>
                <w:sz w:val="20"/>
              </w:rPr>
              <w:t>.</w:t>
            </w:r>
          </w:p>
          <w:p w14:paraId="61A053DD" w14:textId="77777777" w:rsidR="006A4B79" w:rsidRDefault="00941355" w:rsidP="00941355">
            <w:pPr>
              <w:pStyle w:val="Leipteksti"/>
              <w:rPr>
                <w:rFonts w:ascii="Arial" w:hAnsi="Arial" w:cs="Arial"/>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76F46CCA" w14:textId="13AB830D"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they are exempt from VAT </w:t>
            </w:r>
          </w:p>
          <w:p w14:paraId="463C43AA" w14:textId="77777777" w:rsidR="00FF2327" w:rsidRPr="00FF2327"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67E8BFA6" w14:textId="77777777" w:rsidR="00FF2327" w:rsidRPr="00FF2327" w:rsidRDefault="00FF2327"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services purchased [are based/are not based] on invoices</w:t>
            </w:r>
          </w:p>
          <w:p w14:paraId="6AFBA6BE" w14:textId="77777777" w:rsidR="00FF2327" w:rsidRPr="00FF2327" w:rsidRDefault="00FF2327" w:rsidP="00FF2327">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sz w:val="20"/>
              </w:rPr>
            </w:pPr>
            <w:r w:rsidRPr="00FF2327">
              <w:rPr>
                <w:rFonts w:ascii="Arial" w:hAnsi="Arial"/>
                <w:sz w:val="20"/>
              </w:rPr>
              <w:t xml:space="preserve">the services purchased </w:t>
            </w:r>
            <w:r w:rsidRPr="00FF2327">
              <w:rPr>
                <w:rFonts w:ascii="Arial" w:hAnsi="Arial"/>
                <w:i/>
                <w:iCs/>
                <w:sz w:val="20"/>
              </w:rPr>
              <w:t>[do not include/include]</w:t>
            </w:r>
            <w:r w:rsidRPr="00FF2327">
              <w:rPr>
                <w:rFonts w:ascii="Arial" w:hAnsi="Arial"/>
                <w:sz w:val="20"/>
              </w:rPr>
              <w:t xml:space="preserve"> travel and overheads</w:t>
            </w:r>
          </w:p>
          <w:p w14:paraId="159131F0" w14:textId="77777777" w:rsidR="00FF2327" w:rsidRPr="00FF2327" w:rsidRDefault="00FF2327" w:rsidP="00BF6B18">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the purchased services </w:t>
            </w:r>
            <w:r w:rsidRPr="00FF2327">
              <w:rPr>
                <w:rFonts w:ascii="Arial" w:hAnsi="Arial"/>
                <w:i/>
                <w:iCs/>
                <w:sz w:val="20"/>
              </w:rPr>
              <w:t>[include/do not include]</w:t>
            </w:r>
            <w:r w:rsidRPr="00FF2327">
              <w:rPr>
                <w:rFonts w:ascii="Arial" w:hAnsi="Arial"/>
                <w:sz w:val="20"/>
              </w:rPr>
              <w:t xml:space="preserve"> purchases from Group/associated companies</w:t>
            </w:r>
          </w:p>
          <w:p w14:paraId="317F9226" w14:textId="77777777" w:rsidR="00FF2327" w:rsidRPr="00FF2327" w:rsidRDefault="00FF2327" w:rsidP="00BF6B18">
            <w:pPr>
              <w:pStyle w:val="Merkittyluettelo"/>
              <w:numPr>
                <w:ilvl w:val="2"/>
                <w:numId w:val="11"/>
              </w:numPr>
              <w:tabs>
                <w:tab w:val="clear" w:pos="2160"/>
              </w:tabs>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the purchases from Group/associated companies </w:t>
            </w:r>
            <w:r w:rsidRPr="00FF2327">
              <w:rPr>
                <w:rFonts w:ascii="Arial" w:hAnsi="Arial"/>
                <w:i/>
                <w:iCs/>
                <w:sz w:val="20"/>
              </w:rPr>
              <w:t>[have/have not]</w:t>
            </w:r>
            <w:r w:rsidRPr="00FF2327">
              <w:rPr>
                <w:rFonts w:ascii="Arial" w:hAnsi="Arial"/>
                <w:sz w:val="20"/>
              </w:rPr>
              <w:t xml:space="preserve"> been reported without profit and the final report [includes/does not include] the auditor’s report regarding the seller’s costs.</w:t>
            </w:r>
            <w:r>
              <w:rPr>
                <w:rFonts w:ascii="Arial" w:hAnsi="Arial"/>
                <w:sz w:val="20"/>
              </w:rPr>
              <w:t xml:space="preserve"> </w:t>
            </w:r>
          </w:p>
          <w:p w14:paraId="6562D3D7" w14:textId="77777777" w:rsidR="00FF2327" w:rsidRPr="00FF2327" w:rsidRDefault="00FF2327" w:rsidP="00FF2327">
            <w:pPr>
              <w:pStyle w:val="Merkittyluettelo"/>
              <w:numPr>
                <w:ilvl w:val="0"/>
                <w:numId w:val="0"/>
              </w:numPr>
              <w:spacing w:after="0"/>
              <w:ind w:left="89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0FB5CA7" w14:textId="77777777" w:rsidR="00FF2327" w:rsidRDefault="00FF2327"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D0AE2DB" w14:textId="77777777" w:rsidR="00FF2327" w:rsidRDefault="00FF2327"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7D69DBE" w14:textId="25ADD55C" w:rsidR="00941355" w:rsidRPr="00FF2327" w:rsidRDefault="00941355" w:rsidP="00FF2327">
            <w:pPr>
              <w:pStyle w:val="Merkittyluettelo"/>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327">
              <w:rPr>
                <w:rFonts w:ascii="Arial" w:hAnsi="Arial"/>
                <w:sz w:val="20"/>
              </w:rPr>
              <w:t xml:space="preserve">We have determined that the costs </w:t>
            </w:r>
            <w:r w:rsidRPr="00FF2327">
              <w:rPr>
                <w:rFonts w:ascii="Arial" w:hAnsi="Arial"/>
                <w:i/>
                <w:iCs/>
                <w:sz w:val="20"/>
              </w:rPr>
              <w:t>[have been/have not been]</w:t>
            </w:r>
            <w:r w:rsidRPr="00FF2327">
              <w:rPr>
                <w:rFonts w:ascii="Arial" w:hAnsi="Arial"/>
                <w:sz w:val="20"/>
              </w:rPr>
              <w:t xml:space="preserve"> approved in accordance with the Engaging Party’s approval practices. </w:t>
            </w:r>
          </w:p>
          <w:p w14:paraId="371CBC3D" w14:textId="4131B291"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w:t>
            </w:r>
            <w:r w:rsidR="00FF2327">
              <w:rPr>
                <w:rFonts w:ascii="Arial" w:hAnsi="Arial"/>
                <w:sz w:val="20"/>
              </w:rPr>
              <w:t>6</w:t>
            </w:r>
            <w:r>
              <w:rPr>
                <w:rFonts w:ascii="Arial" w:hAnsi="Arial"/>
                <w:sz w:val="20"/>
              </w:rPr>
              <w:t>0%) consisted of the following receipts (name of the supplier and the VAT-free amount allocated to the project). The sample (15 %) consisted of the following receipts (name of the supplier and the VAT-free amount allocated to the project) (specification attached)</w:t>
            </w:r>
            <w:r w:rsidR="00FF2327">
              <w:rPr>
                <w:rFonts w:ascii="Arial" w:hAnsi="Arial"/>
                <w:sz w:val="20"/>
              </w:rPr>
              <w:t>.</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755818A1" w:rsidR="004573E0" w:rsidRPr="00AA0CED" w:rsidRDefault="00FF2327" w:rsidP="00FF2327">
            <w:pPr>
              <w:pStyle w:val="Leipteksti"/>
              <w:rPr>
                <w:rFonts w:ascii="Arial" w:hAnsi="Arial" w:cs="Arial"/>
                <w:sz w:val="20"/>
              </w:rPr>
            </w:pPr>
            <w:r w:rsidRPr="00FF2327">
              <w:rPr>
                <w:rFonts w:ascii="Arial" w:hAnsi="Arial"/>
                <w:b w:val="0"/>
                <w:bCs w:val="0"/>
                <w:sz w:val="20"/>
              </w:rPr>
              <w:t>There is no need to clarify the imputed share of other costs.</w:t>
            </w:r>
          </w:p>
        </w:tc>
        <w:tc>
          <w:tcPr>
            <w:tcW w:w="7087" w:type="dxa"/>
          </w:tcPr>
          <w:p w14:paraId="2434CF0D" w14:textId="4FB5C13D" w:rsidR="004573E0" w:rsidRPr="00AA0CED"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24F1C" w:rsidRPr="00AA0CED" w14:paraId="4D025DDA"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B24F1C" w:rsidRPr="00AA0CED" w14:paraId="4A94358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2930" w14:textId="77777777" w:rsidR="00C2451D" w:rsidRDefault="00C2451D">
      <w:r>
        <w:separator/>
      </w:r>
    </w:p>
  </w:endnote>
  <w:endnote w:type="continuationSeparator" w:id="0">
    <w:p w14:paraId="5D849A15" w14:textId="77777777" w:rsidR="00C2451D" w:rsidRDefault="00C2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A3B8" w14:textId="77777777" w:rsidR="00C2451D" w:rsidRDefault="00C2451D">
      <w:r>
        <w:separator/>
      </w:r>
    </w:p>
  </w:footnote>
  <w:footnote w:type="continuationSeparator" w:id="0">
    <w:p w14:paraId="4CA6E90B" w14:textId="77777777" w:rsidR="00C2451D" w:rsidRDefault="00C2451D">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05D4985"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D14E8E">
      <w:rPr>
        <w:rFonts w:ascii="Arial" w:hAnsi="Arial"/>
        <w:i w:val="0"/>
        <w:sz w:val="20"/>
      </w:rPr>
      <w:t>Incentive for audiovisual productions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F7F04420"/>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A1B2259"/>
    <w:multiLevelType w:val="hybridMultilevel"/>
    <w:tmpl w:val="D9EE367E"/>
    <w:lvl w:ilvl="0" w:tplc="FFFFFFFF">
      <w:start w:val="1"/>
      <w:numFmt w:val="decimal"/>
      <w:lvlText w:val="%1."/>
      <w:lvlJc w:val="left"/>
      <w:pPr>
        <w:tabs>
          <w:tab w:val="num" w:pos="360"/>
        </w:tabs>
        <w:ind w:left="360" w:hanging="360"/>
      </w:pPr>
      <w:rPr>
        <w:rFonts w:cs="Times New Roman" w:hint="default"/>
        <w:color w:val="auto"/>
        <w:sz w:val="22"/>
      </w:rPr>
    </w:lvl>
    <w:lvl w:ilvl="1" w:tplc="FFFFFFFF">
      <w:start w:val="1"/>
      <w:numFmt w:val="lowerLetter"/>
      <w:lvlText w:val="%2."/>
      <w:lvlJc w:val="left"/>
      <w:pPr>
        <w:tabs>
          <w:tab w:val="num" w:pos="1440"/>
        </w:tabs>
        <w:ind w:left="1440" w:hanging="360"/>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09AC"/>
    <w:rsid w:val="00047DFA"/>
    <w:rsid w:val="000500CF"/>
    <w:rsid w:val="000640E4"/>
    <w:rsid w:val="00065846"/>
    <w:rsid w:val="00067517"/>
    <w:rsid w:val="00073A87"/>
    <w:rsid w:val="0007799C"/>
    <w:rsid w:val="0008009C"/>
    <w:rsid w:val="00083A74"/>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0B26"/>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451D"/>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4E8E"/>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1A7"/>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2327"/>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2059</Words>
  <Characters>11224</Characters>
  <Application>Microsoft Office Word</Application>
  <DocSecurity>0</DocSecurity>
  <Lines>93</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2023-01-23T13:48:00Z</dcterms:created>
  <dcterms:modified xsi:type="dcterms:W3CDTF">2023-01-23T13:48:00Z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