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3121E3B3"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4E657B">
        <w:rPr>
          <w:rFonts w:ascii="Arial" w:hAnsi="Arial"/>
          <w:sz w:val="22"/>
          <w:szCs w:val="22"/>
        </w:rPr>
        <w:br/>
        <w:t>finansiering av unga innovativa företag (NIY) eller Deeptech accelerator (DTA)</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3BE2DF6D"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008CBBBA" w14:textId="73048D7C" w:rsidR="004E657B" w:rsidRDefault="004E657B" w:rsidP="004E657B">
      <w:pPr>
        <w:pStyle w:val="Leipteksti"/>
        <w:spacing w:before="0" w:after="120"/>
        <w:jc w:val="both"/>
        <w:rPr>
          <w:rFonts w:ascii="Arial" w:hAnsi="Arial" w:cs="Arial"/>
          <w:sz w:val="20"/>
        </w:rPr>
      </w:pPr>
      <w:r>
        <w:rPr>
          <w:rFonts w:ascii="Arial" w:hAnsi="Arial"/>
          <w:sz w:val="20"/>
        </w:rPr>
        <w:t xml:space="preserve">Rapporten gäller finansieringstjänster (vid behov kan du </w:t>
      </w:r>
      <w:r w:rsidR="00497242">
        <w:rPr>
          <w:rFonts w:ascii="Arial" w:hAnsi="Arial"/>
          <w:sz w:val="20"/>
        </w:rPr>
        <w:t>stryka över</w:t>
      </w:r>
      <w:r>
        <w:rPr>
          <w:rFonts w:ascii="Arial" w:hAnsi="Arial"/>
          <w:sz w:val="20"/>
        </w:rPr>
        <w:t xml:space="preserve"> extra åtgärder och observationer):</w:t>
      </w:r>
    </w:p>
    <w:p w14:paraId="09A22627" w14:textId="5CC43573" w:rsidR="004E657B" w:rsidRDefault="002453CE" w:rsidP="004E657B">
      <w:pPr>
        <w:pStyle w:val="Leipteksti"/>
        <w:spacing w:before="0" w:after="120"/>
        <w:rPr>
          <w:rFonts w:ascii="Arial" w:hAnsi="Arial"/>
          <w:sz w:val="20"/>
        </w:rPr>
      </w:pPr>
      <w:sdt>
        <w:sdtPr>
          <w:rPr>
            <w:rFonts w:ascii="Arial" w:hAnsi="Arial" w:cs="Arial"/>
            <w:sz w:val="20"/>
          </w:rPr>
          <w:id w:val="-343395967"/>
          <w14:checkbox>
            <w14:checked w14:val="0"/>
            <w14:checkedState w14:val="2612" w14:font="MS Gothic"/>
            <w14:uncheckedState w14:val="2610" w14:font="MS Gothic"/>
          </w14:checkbox>
        </w:sdtPr>
        <w:sdtEndPr/>
        <w:sdtContent>
          <w:r w:rsidR="004E657B">
            <w:rPr>
              <w:rFonts w:ascii="MS Gothic" w:eastAsia="MS Gothic" w:hAnsi="MS Gothic" w:cs="Arial" w:hint="eastAsia"/>
              <w:sz w:val="20"/>
            </w:rPr>
            <w:t>☐</w:t>
          </w:r>
        </w:sdtContent>
      </w:sdt>
      <w:r w:rsidR="004E657B">
        <w:rPr>
          <w:rFonts w:ascii="Arial" w:hAnsi="Arial"/>
          <w:sz w:val="20"/>
        </w:rPr>
        <w:t>Finansiering av unga innovativa företag</w:t>
      </w:r>
      <w:r w:rsidR="004E657B">
        <w:rPr>
          <w:rFonts w:ascii="Arial" w:hAnsi="Arial"/>
          <w:sz w:val="20"/>
        </w:rPr>
        <w:br/>
      </w:r>
      <w:sdt>
        <w:sdtPr>
          <w:rPr>
            <w:rFonts w:ascii="Arial" w:hAnsi="Arial" w:cs="Arial"/>
            <w:sz w:val="20"/>
          </w:rPr>
          <w:id w:val="2138529271"/>
          <w14:checkbox>
            <w14:checked w14:val="0"/>
            <w14:checkedState w14:val="2612" w14:font="MS Gothic"/>
            <w14:uncheckedState w14:val="2610" w14:font="MS Gothic"/>
          </w14:checkbox>
        </w:sdtPr>
        <w:sdtEndPr/>
        <w:sdtContent>
          <w:r w:rsidR="004E657B">
            <w:rPr>
              <w:rFonts w:ascii="MS Gothic" w:eastAsia="MS Gothic" w:hAnsi="MS Gothic" w:cs="Arial" w:hint="eastAsia"/>
              <w:sz w:val="20"/>
            </w:rPr>
            <w:t>☐</w:t>
          </w:r>
        </w:sdtContent>
      </w:sdt>
      <w:r w:rsidR="004E657B">
        <w:rPr>
          <w:rFonts w:ascii="Arial" w:hAnsi="Arial"/>
          <w:sz w:val="20"/>
        </w:rPr>
        <w:t>Finansiering av Deeptech accelerator</w:t>
      </w:r>
    </w:p>
    <w:p w14:paraId="10A94A16" w14:textId="05F9D673"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6E436B38"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D45BBA"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07CCD0A" w:rsidR="0033583E" w:rsidRPr="00AA0CED" w:rsidRDefault="00161531" w:rsidP="0033583E">
            <w:pPr>
              <w:pStyle w:val="Leipteksti"/>
              <w:rPr>
                <w:rFonts w:ascii="Arial" w:hAnsi="Arial" w:cs="Arial"/>
                <w:b w:val="0"/>
                <w:bCs w:val="0"/>
                <w:sz w:val="20"/>
              </w:rPr>
            </w:pPr>
            <w:r w:rsidRPr="00161531">
              <w:rPr>
                <w:rFonts w:ascii="Arial" w:hAnsi="Arial"/>
                <w:b w:val="0"/>
                <w:bCs w:val="0"/>
                <w:sz w:val="20"/>
              </w:rPr>
              <w:t xml:space="preserve">Om uppdragsgivaren samtidigt har ett projekt finansierat av Finansiären </w:t>
            </w:r>
            <w:proofErr w:type="gramStart"/>
            <w:r w:rsidRPr="00161531">
              <w:rPr>
                <w:rFonts w:ascii="Arial" w:hAnsi="Arial"/>
                <w:b w:val="0"/>
                <w:bCs w:val="0"/>
                <w:sz w:val="20"/>
              </w:rPr>
              <w:t>igång</w:t>
            </w:r>
            <w:proofErr w:type="gramEnd"/>
            <w:r w:rsidRPr="00161531">
              <w:rPr>
                <w:rFonts w:ascii="Arial" w:hAnsi="Arial"/>
                <w:b w:val="0"/>
                <w:bCs w:val="0"/>
                <w:sz w:val="20"/>
              </w:rPr>
              <w:t xml:space="preserve">, vars finansieringsvillkor kräver arbetstidsuppföljning, ska alla de personer som arbetar med det projekt som också kräver arbetstidsuppföljning har arbetstidsuppföljning på timnivå av sitt arbete. </w:t>
            </w:r>
            <w:r w:rsidR="0033583E">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7A039090"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w:t>
            </w:r>
          </w:p>
          <w:p w14:paraId="13435B93" w14:textId="62979319"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den person som har arbetat för projektet (till exempel chefer och ansvariga personer) har fastställd arbetstid i ett arbets- eller kollektivavtal</w:t>
            </w:r>
            <w:r w:rsidR="00497242">
              <w:rPr>
                <w:rFonts w:ascii="Arial" w:hAnsi="Arial"/>
                <w:b w:val="0"/>
                <w:bCs w:val="0"/>
                <w:sz w:val="20"/>
              </w:rPr>
              <w:t>.</w:t>
            </w:r>
            <w:r>
              <w:rPr>
                <w:rFonts w:ascii="Arial" w:hAnsi="Arial"/>
                <w:b w:val="0"/>
                <w:bCs w:val="0"/>
                <w:sz w:val="20"/>
              </w:rPr>
              <w:t xml:space="preserve"> </w:t>
            </w:r>
            <w:r w:rsidR="00497242" w:rsidRPr="002F55B7">
              <w:rPr>
                <w:rFonts w:ascii="Arial" w:hAnsi="Arial"/>
                <w:b w:val="0"/>
                <w:bCs w:val="0"/>
                <w:sz w:val="20"/>
              </w:rPr>
              <w:t xml:space="preserve">Om inte, har </w:t>
            </w:r>
            <w:r w:rsidR="00497242">
              <w:rPr>
                <w:rFonts w:ascii="Arial" w:hAnsi="Arial"/>
                <w:b w:val="0"/>
                <w:bCs w:val="0"/>
                <w:sz w:val="20"/>
              </w:rPr>
              <w:t>man</w:t>
            </w:r>
            <w:r w:rsidR="00497242" w:rsidRPr="002F55B7">
              <w:rPr>
                <w:rFonts w:ascii="Arial" w:hAnsi="Arial"/>
                <w:b w:val="0"/>
                <w:bCs w:val="0"/>
                <w:sz w:val="20"/>
              </w:rPr>
              <w:t xml:space="preserve"> agerat i enlighet med finansieringsvillkoren avseende den totala arbetstiden.</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67559270"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w:t>
            </w:r>
            <w:r w:rsidR="00497242">
              <w:rPr>
                <w:rFonts w:ascii="Arial" w:hAnsi="Arial"/>
                <w:sz w:val="20"/>
              </w:rPr>
              <w:t xml:space="preserve">avseende personens totala arbetstid </w:t>
            </w:r>
            <w:r w:rsidR="00497242">
              <w:rPr>
                <w:rFonts w:ascii="Arial" w:hAnsi="Arial"/>
                <w:i/>
                <w:iCs/>
                <w:sz w:val="20"/>
              </w:rPr>
              <w:t>[har/har inte]</w:t>
            </w:r>
            <w:r w:rsidR="00497242">
              <w:rPr>
                <w:rFonts w:ascii="Arial" w:hAnsi="Arial"/>
                <w:sz w:val="20"/>
              </w:rPr>
              <w:t xml:space="preserve"> åtgärdats i enlighet med finansieringsvillkoren. Om åtgärder har vidtagits i strid med finansieringsvillkoren avseende total arbetstid, beskriv avvikelserna.</w:t>
            </w:r>
            <w:r>
              <w:rPr>
                <w:rFonts w:ascii="Arial" w:hAnsi="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622C6FAD"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När det gäller de rapporterade lönekostnaderna vidtog vi nedanstående åtgärder. Åtgärderna omfattade 30 procent av de penninglöner som rapporterats i projektet och 15 </w:t>
            </w:r>
            <w:r w:rsidR="00497242">
              <w:rPr>
                <w:rFonts w:ascii="Arial" w:hAnsi="Arial"/>
                <w:b w:val="0"/>
                <w:bCs w:val="0"/>
                <w:sz w:val="20"/>
              </w:rPr>
              <w:t>procent av utbetalningarna av de totala penninglöner som presenterades i lönespecifikationer</w:t>
            </w:r>
            <w:r>
              <w:rPr>
                <w:rFonts w:ascii="Arial" w:hAnsi="Arial"/>
                <w:b w:val="0"/>
                <w:bCs w:val="0"/>
                <w:sz w:val="20"/>
              </w:rPr>
              <w:t>.</w:t>
            </w:r>
          </w:p>
          <w:p w14:paraId="07AF5062" w14:textId="6DF1ECA8"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 det belopp som angetts vid ”Total penninglön som betalats under rapporteringsperioden” i lönespecifikationsblanketten i rapporten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1A90564B" w:rsidR="0033583E" w:rsidRPr="00AA0CED" w:rsidRDefault="00497242" w:rsidP="002112DB">
            <w:pPr>
              <w:pStyle w:val="Leipteksti"/>
              <w:numPr>
                <w:ilvl w:val="0"/>
                <w:numId w:val="5"/>
              </w:numPr>
              <w:spacing w:before="0" w:after="0"/>
              <w:ind w:left="589"/>
              <w:rPr>
                <w:rFonts w:ascii="Arial" w:hAnsi="Arial" w:cs="Arial"/>
                <w:b w:val="0"/>
                <w:bCs w:val="0"/>
                <w:sz w:val="20"/>
              </w:rPr>
            </w:pPr>
            <w:r w:rsidRPr="0098229A">
              <w:rPr>
                <w:rFonts w:ascii="Arial" w:hAnsi="Arial"/>
                <w:b w:val="0"/>
                <w:bCs w:val="0"/>
                <w:sz w:val="20"/>
              </w:rPr>
              <w:t>Om det har varit personer som arbetat i projektet vars arbetstider inte är definierade i anställningsavtalet eller som inte är bundna av arbetstidslagen, jämförde vi den praxis som följs för dem med de finansieringsvillkor som gäller för projektet.</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rapporten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Vi fick tillgång till en specifikation enligt kostnadsslag av kostnaderna som uppgetts i rapporten och utförde nedan nämnda åtgärder. Åtgärderna omfattade 30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0F8EB223"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r w:rsidR="000A07E0">
              <w:rPr>
                <w:rFonts w:ascii="Arial" w:hAnsi="Arial"/>
                <w:b w:val="0"/>
                <w:bCs w:val="0"/>
                <w:sz w:val="20"/>
              </w:rPr>
              <w:t xml:space="preserve"> och har deras skriftliga beställning/avtal gjorts efter inlämnande av finansieringsansökan</w:t>
            </w:r>
          </w:p>
          <w:p w14:paraId="2858FE19" w14:textId="323E6F41" w:rsidR="00941355" w:rsidRPr="00161531" w:rsidRDefault="00941355" w:rsidP="00161531">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r w:rsidR="00161531">
              <w:rPr>
                <w:rFonts w:ascii="Arial" w:hAnsi="Arial"/>
                <w:b w:val="0"/>
                <w:bCs w:val="0"/>
                <w:sz w:val="20"/>
              </w:rPr>
              <w:t>.</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4A8F68C6"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r w:rsidR="000A07E0">
              <w:rPr>
                <w:rFonts w:ascii="Arial" w:hAnsi="Arial"/>
                <w:sz w:val="20"/>
              </w:rPr>
              <w:t xml:space="preserve"> och beställningen/avtalet har gjorts efter inlämnande av finansieringsansökan</w:t>
            </w:r>
          </w:p>
          <w:p w14:paraId="1DD71E24" w14:textId="117B36BA" w:rsidR="00941355" w:rsidRPr="00161531" w:rsidRDefault="00941355" w:rsidP="00161531">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w:t>
            </w:r>
            <w:r w:rsidRPr="00161531">
              <w:rPr>
                <w:rFonts w:ascii="Arial" w:hAnsi="Arial"/>
                <w:sz w:val="20"/>
              </w:rPr>
              <w:t>.</w:t>
            </w:r>
          </w:p>
          <w:p w14:paraId="5A1F73B2" w14:textId="77777777" w:rsidR="000A07E0" w:rsidRDefault="000A07E0" w:rsidP="000A07E0">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5704F5">
              <w:rPr>
                <w:rFonts w:ascii="Arial" w:hAnsi="Arial"/>
                <w:sz w:val="20"/>
              </w:rPr>
              <w:t xml:space="preserve">Vi uppgav att om beställningen/avtalet </w:t>
            </w:r>
            <w:r>
              <w:rPr>
                <w:rFonts w:ascii="Arial" w:hAnsi="Arial"/>
                <w:sz w:val="20"/>
              </w:rPr>
              <w:t xml:space="preserve">har </w:t>
            </w:r>
            <w:r w:rsidRPr="005704F5">
              <w:rPr>
                <w:rFonts w:ascii="Arial" w:hAnsi="Arial"/>
                <w:sz w:val="20"/>
              </w:rPr>
              <w:t>g</w:t>
            </w:r>
            <w:r>
              <w:rPr>
                <w:rFonts w:ascii="Arial" w:hAnsi="Arial"/>
                <w:sz w:val="20"/>
              </w:rPr>
              <w:t>jort</w:t>
            </w:r>
            <w:r w:rsidRPr="005704F5">
              <w:rPr>
                <w:rFonts w:ascii="Arial" w:hAnsi="Arial"/>
                <w:sz w:val="20"/>
              </w:rPr>
              <w:t xml:space="preserve">s innan </w:t>
            </w:r>
            <w:r>
              <w:rPr>
                <w:rFonts w:ascii="Arial" w:hAnsi="Arial"/>
                <w:sz w:val="20"/>
              </w:rPr>
              <w:t xml:space="preserve">inlämnande av </w:t>
            </w:r>
            <w:r w:rsidRPr="005704F5">
              <w:rPr>
                <w:rFonts w:ascii="Arial" w:hAnsi="Arial"/>
                <w:sz w:val="20"/>
              </w:rPr>
              <w:t xml:space="preserve">finansieringsansökan har beställningen/avtalet </w:t>
            </w:r>
            <w:r w:rsidRPr="001D3ED3">
              <w:rPr>
                <w:rFonts w:ascii="Arial" w:hAnsi="Arial"/>
                <w:i/>
                <w:iCs/>
                <w:sz w:val="20"/>
              </w:rPr>
              <w:t>[har/inte]</w:t>
            </w:r>
            <w:r w:rsidRPr="005704F5">
              <w:rPr>
                <w:rFonts w:ascii="Arial" w:hAnsi="Arial"/>
                <w:sz w:val="20"/>
              </w:rPr>
              <w:t xml:space="preserve"> ett villkor att köpet hävs om finansieringsbeslutet är negativt.</w:t>
            </w:r>
          </w:p>
          <w:p w14:paraId="77D69DBE" w14:textId="0491610B"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15B47C2E" w:rsidR="006A4B79" w:rsidRPr="006A4B79" w:rsidRDefault="00F27D1F"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även frågorna nedan med avseende på urvalet:</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716B7626" w:rsidR="00941355" w:rsidRPr="00AA0CED" w:rsidRDefault="00941355" w:rsidP="007D3D46">
            <w:pPr>
              <w:pStyle w:val="Leipteksti"/>
              <w:rPr>
                <w:rFonts w:ascii="Arial" w:hAnsi="Arial" w:cs="Arial"/>
                <w:sz w:val="20"/>
              </w:rPr>
            </w:pPr>
            <w:r>
              <w:rPr>
                <w:rFonts w:ascii="Arial" w:hAnsi="Arial"/>
                <w:sz w:val="20"/>
              </w:rPr>
              <w:t xml:space="preserve">4a </w:t>
            </w:r>
            <w:r w:rsidR="00161531">
              <w:rPr>
                <w:rFonts w:ascii="Arial" w:hAnsi="Arial"/>
                <w:sz w:val="20"/>
              </w:rPr>
              <w:t>Köpta tjänster</w:t>
            </w:r>
          </w:p>
        </w:tc>
        <w:tc>
          <w:tcPr>
            <w:tcW w:w="7087" w:type="dxa"/>
            <w:shd w:val="clear" w:color="auto" w:fill="D9D9D9" w:themeFill="background1" w:themeFillShade="D9"/>
          </w:tcPr>
          <w:p w14:paraId="6DB92E00" w14:textId="54D0B8F6"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w:t>
            </w:r>
            <w:r w:rsidR="00F27D1F">
              <w:rPr>
                <w:rFonts w:ascii="Arial" w:hAnsi="Arial"/>
                <w:b/>
                <w:bCs/>
                <w:sz w:val="20"/>
              </w:rPr>
              <w:t xml:space="preserve"> för alla köpta tjänster</w:t>
            </w:r>
            <w:r>
              <w:rPr>
                <w:rFonts w:ascii="Arial" w:hAnsi="Arial"/>
                <w:b/>
                <w:bCs/>
                <w:sz w:val="20"/>
              </w:rPr>
              <w:t>,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853CB4" w14:textId="77777777" w:rsidR="00941355" w:rsidRDefault="00941355" w:rsidP="00161531">
            <w:pPr>
              <w:pStyle w:val="Leipteksti"/>
              <w:rPr>
                <w:rFonts w:ascii="Arial" w:hAnsi="Arial"/>
                <w:sz w:val="20"/>
              </w:rPr>
            </w:pPr>
            <w:r>
              <w:rPr>
                <w:rFonts w:ascii="Arial" w:hAnsi="Arial"/>
                <w:b w:val="0"/>
                <w:bCs w:val="0"/>
                <w:sz w:val="20"/>
              </w:rPr>
              <w:t>om resekostnaderna är i enlighet med Skatteförvaltningens beslut</w:t>
            </w:r>
          </w:p>
          <w:p w14:paraId="47027082" w14:textId="0B3D8572" w:rsidR="00161531" w:rsidRDefault="00161531" w:rsidP="00161531">
            <w:pPr>
              <w:pStyle w:val="Leipteksti"/>
              <w:rPr>
                <w:rFonts w:ascii="Arial" w:hAnsi="Arial" w:cs="Arial"/>
                <w:sz w:val="20"/>
              </w:rPr>
            </w:pPr>
            <w:r w:rsidRPr="00161531">
              <w:rPr>
                <w:rFonts w:ascii="Arial" w:hAnsi="Arial" w:cs="Arial"/>
                <w:b w:val="0"/>
                <w:bCs w:val="0"/>
                <w:sz w:val="20"/>
              </w:rPr>
              <w:t>om köpta tjänster grundar sig på en faktura</w:t>
            </w:r>
          </w:p>
          <w:p w14:paraId="5A518FF2" w14:textId="51F1D41F" w:rsidR="00161531" w:rsidRPr="00161531" w:rsidRDefault="00161531" w:rsidP="00161531">
            <w:pPr>
              <w:pStyle w:val="Leipteksti"/>
              <w:rPr>
                <w:rFonts w:ascii="Arial" w:hAnsi="Arial" w:cs="Arial"/>
                <w:b w:val="0"/>
                <w:bCs w:val="0"/>
                <w:sz w:val="20"/>
              </w:rPr>
            </w:pPr>
            <w:r>
              <w:rPr>
                <w:rFonts w:ascii="Arial" w:hAnsi="Arial"/>
                <w:b w:val="0"/>
                <w:bCs w:val="0"/>
                <w:sz w:val="20"/>
              </w:rPr>
              <w:t>v</w:t>
            </w:r>
            <w:r w:rsidRPr="00161531">
              <w:rPr>
                <w:rFonts w:ascii="Arial" w:hAnsi="Arial"/>
                <w:b w:val="0"/>
                <w:bCs w:val="0"/>
                <w:sz w:val="20"/>
              </w:rPr>
              <w:t>i intervjuade [personens namn] för att utreda om tjänster har köpts från koncern- eller intresseföretag (jfr definitionen av intresseföretag i finansieringsvillkoren)  </w:t>
            </w:r>
          </w:p>
          <w:p w14:paraId="060C2B95"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köp inom koncernen/av intresseföretag har redovisats utan täckning</w:t>
            </w:r>
          </w:p>
          <w:p w14:paraId="1BF09F7D" w14:textId="77777777" w:rsidR="00161531" w:rsidRPr="00161531" w:rsidRDefault="00161531" w:rsidP="00161531">
            <w:pPr>
              <w:pStyle w:val="Leipteksti"/>
              <w:numPr>
                <w:ilvl w:val="0"/>
                <w:numId w:val="11"/>
              </w:numPr>
              <w:ind w:left="459"/>
              <w:rPr>
                <w:rFonts w:ascii="Arial" w:hAnsi="Arial" w:cs="Arial"/>
                <w:b w:val="0"/>
                <w:bCs w:val="0"/>
                <w:sz w:val="20"/>
              </w:rPr>
            </w:pPr>
            <w:r w:rsidRPr="00161531">
              <w:rPr>
                <w:rFonts w:ascii="Arial" w:hAnsi="Arial"/>
                <w:b w:val="0"/>
                <w:bCs w:val="0"/>
                <w:sz w:val="20"/>
              </w:rPr>
              <w:t>om uppdragsgivarens slutrapport åtföljs av en revisionsrapport över säljarens kostnader given av en oberoende revisor</w:t>
            </w:r>
          </w:p>
          <w:p w14:paraId="79234643"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utrustningshyrorna grundar sig på en faktura</w:t>
            </w:r>
          </w:p>
          <w:p w14:paraId="594B7FF5"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utrustningshyrorna är högst lika stora som inköpspriset för utrustningen i fråga</w:t>
            </w:r>
          </w:p>
          <w:p w14:paraId="25C2C558" w14:textId="01BFFD06" w:rsidR="00161531" w:rsidRPr="00AA0CED" w:rsidRDefault="00161531" w:rsidP="00161531">
            <w:pPr>
              <w:pStyle w:val="Leipteksti"/>
              <w:rPr>
                <w:rFonts w:ascii="Arial" w:hAnsi="Arial" w:cs="Arial"/>
                <w:sz w:val="20"/>
              </w:rPr>
            </w:pPr>
            <w:r w:rsidRPr="00161531">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7087" w:type="dxa"/>
          </w:tcPr>
          <w:p w14:paraId="600ECE75" w14:textId="77777777" w:rsidR="00941355" w:rsidRDefault="00941355" w:rsidP="00161531">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i enlighet med Skatteförvaltningens beslut.</w:t>
            </w:r>
          </w:p>
          <w:p w14:paraId="2A6EE35E" w14:textId="1390D270" w:rsid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sz w:val="20"/>
              </w:rPr>
            </w:pPr>
            <w:r w:rsidRPr="00161531">
              <w:rPr>
                <w:rFonts w:ascii="Arial" w:hAnsi="Arial"/>
                <w:sz w:val="20"/>
              </w:rPr>
              <w:t>De köpta tjänsterna</w:t>
            </w:r>
            <w:r w:rsidRPr="00161531">
              <w:rPr>
                <w:rFonts w:ascii="Arial" w:hAnsi="Arial"/>
                <w:i/>
                <w:iCs/>
                <w:sz w:val="20"/>
              </w:rPr>
              <w:t xml:space="preserve"> [grundar sig/grundar sig inte]</w:t>
            </w:r>
            <w:r w:rsidRPr="00161531">
              <w:rPr>
                <w:rFonts w:ascii="Arial" w:hAnsi="Arial"/>
                <w:sz w:val="20"/>
              </w:rPr>
              <w:t xml:space="preserve"> på en faktura.</w:t>
            </w:r>
          </w:p>
          <w:p w14:paraId="4203143B"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De köpta tjänsterna </w:t>
            </w:r>
            <w:r w:rsidRPr="00161531">
              <w:rPr>
                <w:rFonts w:ascii="Arial" w:hAnsi="Arial" w:cs="Arial"/>
                <w:i/>
                <w:iCs/>
                <w:sz w:val="20"/>
              </w:rPr>
              <w:t>[inkluderar/inkluderar inte]</w:t>
            </w:r>
            <w:r w:rsidRPr="00161531">
              <w:rPr>
                <w:rFonts w:ascii="Arial" w:hAnsi="Arial" w:cs="Arial"/>
                <w:sz w:val="20"/>
              </w:rPr>
              <w:t xml:space="preserve"> köpta tjänster från koncern- eller intresseföretag.</w:t>
            </w:r>
          </w:p>
          <w:p w14:paraId="0B2C004A"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Tjänster som köpts av koncern-/intresseföretag </w:t>
            </w:r>
            <w:r w:rsidRPr="00161531">
              <w:rPr>
                <w:rFonts w:ascii="Arial" w:hAnsi="Arial" w:cs="Arial"/>
                <w:i/>
                <w:iCs/>
                <w:sz w:val="20"/>
              </w:rPr>
              <w:t>[har/har inte]</w:t>
            </w:r>
            <w:r w:rsidRPr="00161531">
              <w:rPr>
                <w:rFonts w:ascii="Arial" w:hAnsi="Arial" w:cs="Arial"/>
                <w:sz w:val="20"/>
              </w:rPr>
              <w:t xml:space="preserve"> redovisats utan täckning.</w:t>
            </w:r>
          </w:p>
          <w:p w14:paraId="3213DD18" w14:textId="77777777" w:rsidR="00161531" w:rsidRPr="00161531" w:rsidRDefault="00161531" w:rsidP="00161531">
            <w:pPr>
              <w:numPr>
                <w:ilvl w:val="0"/>
                <w:numId w:val="11"/>
              </w:num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Slutrapporten</w:t>
            </w:r>
            <w:r w:rsidRPr="00161531">
              <w:rPr>
                <w:rFonts w:ascii="Arial" w:hAnsi="Arial" w:cs="Arial"/>
                <w:i/>
                <w:iCs/>
                <w:sz w:val="20"/>
              </w:rPr>
              <w:t xml:space="preserve"> [åtföljs/åtföljs inte]</w:t>
            </w:r>
            <w:r w:rsidRPr="00161531">
              <w:rPr>
                <w:rFonts w:ascii="Arial" w:hAnsi="Arial" w:cs="Arial"/>
                <w:sz w:val="20"/>
              </w:rPr>
              <w:t xml:space="preserve"> av revisorns revisionsrapport över säljarens kostnader.</w:t>
            </w:r>
          </w:p>
          <w:p w14:paraId="3F159CC3"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Utrustningshyrorna </w:t>
            </w:r>
            <w:r w:rsidRPr="00161531">
              <w:rPr>
                <w:rFonts w:ascii="Arial" w:hAnsi="Arial" w:cs="Arial"/>
                <w:i/>
                <w:iCs/>
                <w:sz w:val="20"/>
              </w:rPr>
              <w:t>[grundar sig/grundar sig inte]</w:t>
            </w:r>
            <w:r w:rsidRPr="00161531">
              <w:rPr>
                <w:rFonts w:ascii="Arial" w:hAnsi="Arial" w:cs="Arial"/>
                <w:sz w:val="20"/>
              </w:rPr>
              <w:t xml:space="preserve"> på en faktura.</w:t>
            </w:r>
          </w:p>
          <w:p w14:paraId="3B2BC3C6"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Utrustningshyrorna </w:t>
            </w:r>
            <w:r w:rsidRPr="00161531">
              <w:rPr>
                <w:rFonts w:ascii="Arial" w:hAnsi="Arial" w:cs="Arial"/>
                <w:i/>
                <w:iCs/>
                <w:sz w:val="20"/>
              </w:rPr>
              <w:t>[är/är inte]</w:t>
            </w:r>
            <w:r w:rsidRPr="00161531">
              <w:rPr>
                <w:rFonts w:ascii="Arial" w:hAnsi="Arial" w:cs="Arial"/>
                <w:sz w:val="20"/>
              </w:rPr>
              <w:t xml:space="preserve"> högst lika stora som inköpspriset för utrustningen i fråga.</w:t>
            </w:r>
          </w:p>
          <w:p w14:paraId="3C19902B" w14:textId="5BFFB8E9" w:rsidR="00161531" w:rsidRPr="00AA0CED"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Utrustningshyrorna [</w:t>
            </w:r>
            <w:r w:rsidRPr="00161531">
              <w:rPr>
                <w:rFonts w:ascii="Arial" w:hAnsi="Arial" w:cs="Arial"/>
                <w:i/>
                <w:iCs/>
                <w:sz w:val="20"/>
              </w:rPr>
              <w:t>omfattar inte/omfattar</w:t>
            </w:r>
            <w:r w:rsidRPr="00161531">
              <w:rPr>
                <w:rFonts w:ascii="Arial" w:hAnsi="Arial" w:cs="Arial"/>
                <w:sz w:val="20"/>
              </w:rPr>
              <w:t xml:space="preserve">] administrations-, finansierings-, försäkrings-, reparations- eller andra motsvarande kostnader. Eller då ovanstående poster inte kan specificeras, utrustningshyrorna [utgör/utgör inte] mer än 50 procent av hyresutgifterna för utrustningen i fråga. </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989C" w14:textId="77777777" w:rsidR="00741F55" w:rsidRDefault="00741F55">
      <w:r>
        <w:separator/>
      </w:r>
    </w:p>
  </w:endnote>
  <w:endnote w:type="continuationSeparator" w:id="0">
    <w:p w14:paraId="13A9DF55" w14:textId="77777777" w:rsidR="00741F55" w:rsidRDefault="007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01183F7B"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w:t>
    </w:r>
    <w:r w:rsidR="00497242">
      <w:rPr>
        <w:rFonts w:ascii="Arial" w:hAnsi="Arial"/>
        <w:sz w:val="16"/>
        <w:szCs w:val="16"/>
      </w:rPr>
      <w:t>6</w:t>
    </w:r>
    <w:r>
      <w:rPr>
        <w:rFonts w:ascii="Arial" w:hAnsi="Arial"/>
        <w:sz w:val="16"/>
        <w:szCs w:val="16"/>
      </w:rPr>
      <w:t>.202</w:t>
    </w:r>
    <w:r w:rsidR="00497242">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76E5" w14:textId="77777777" w:rsidR="00741F55" w:rsidRDefault="00741F55">
      <w:r>
        <w:separator/>
      </w:r>
    </w:p>
  </w:footnote>
  <w:footnote w:type="continuationSeparator" w:id="0">
    <w:p w14:paraId="4F9BAB0E" w14:textId="77777777" w:rsidR="00741F55" w:rsidRDefault="00741F55">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D4560AB"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4E657B">
      <w:rPr>
        <w:rFonts w:ascii="Arial" w:hAnsi="Arial"/>
        <w:i w:val="0"/>
        <w:sz w:val="20"/>
      </w:rPr>
      <w:t>NIY och DTA finansiering</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p w14:paraId="755A1094" w14:textId="77777777" w:rsidR="00864318" w:rsidRDefault="008643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7075286"/>
    <w:multiLevelType w:val="hybridMultilevel"/>
    <w:tmpl w:val="25F4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59106951">
    <w:abstractNumId w:val="0"/>
  </w:num>
  <w:num w:numId="2" w16cid:durableId="128909446">
    <w:abstractNumId w:val="3"/>
  </w:num>
  <w:num w:numId="3" w16cid:durableId="1364666985">
    <w:abstractNumId w:val="4"/>
  </w:num>
  <w:num w:numId="4" w16cid:durableId="1433013446">
    <w:abstractNumId w:val="6"/>
  </w:num>
  <w:num w:numId="5" w16cid:durableId="275913777">
    <w:abstractNumId w:val="10"/>
  </w:num>
  <w:num w:numId="6" w16cid:durableId="1694069684">
    <w:abstractNumId w:val="5"/>
  </w:num>
  <w:num w:numId="7" w16cid:durableId="54088371">
    <w:abstractNumId w:val="2"/>
  </w:num>
  <w:num w:numId="8" w16cid:durableId="1029447955">
    <w:abstractNumId w:val="7"/>
  </w:num>
  <w:num w:numId="9" w16cid:durableId="671420569">
    <w:abstractNumId w:val="9"/>
  </w:num>
  <w:num w:numId="10" w16cid:durableId="1149832491">
    <w:abstractNumId w:val="8"/>
  </w:num>
  <w:num w:numId="11" w16cid:durableId="117927730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939C0"/>
    <w:rsid w:val="000A07E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531"/>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53CE"/>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242"/>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E657B"/>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41F55"/>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318"/>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4D68"/>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12113"/>
    <w:rsid w:val="00F27975"/>
    <w:rsid w:val="00F27D1F"/>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1658</Words>
  <Characters>11519</Characters>
  <Application>Microsoft Office Word</Application>
  <DocSecurity>0</DocSecurity>
  <Lines>95</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2024-06-06T06:40:00Z</dcterms:created>
  <dcterms:modified xsi:type="dcterms:W3CDTF">2024-06-06T06:40:00Z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